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E5CAE5" w:rsidR="00D6147A" w:rsidRDefault="00941D72" w:rsidP="00941D72">
      <w:hyperlink r:id="rId6" w:history="1">
        <w:r w:rsidRPr="00360C41">
          <w:rPr>
            <w:rStyle w:val="Collegamentoipertestuale"/>
          </w:rPr>
          <w:t>https://www.borsaitaliana.it/borsa/notizie/radiocor/economia/dettaglio/banche-panetta-ridurre-garanzie-pubbliche-su-prestiti-ma-preservarle-per-pmi-nRC_15022025_1240_278331775.html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banche-panetta-ridurre-garanzie-pubbliche-su-prestiti-ma-preservarle-per-pmi-nRC_15022025_1240_2783317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2025-02-19T14:17:00Z</dcterms:created>
  <dcterms:modified xsi:type="dcterms:W3CDTF">2025-02-19T14:17:00Z</dcterms:modified>
</cp:coreProperties>
</file>